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E4" w:rsidRPr="00A075E4" w:rsidRDefault="00A075E4" w:rsidP="00A075E4">
      <w:pPr>
        <w:shd w:val="clear" w:color="auto" w:fill="FFFFFF"/>
        <w:spacing w:after="377" w:line="240" w:lineRule="auto"/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</w:pPr>
      <w:proofErr w:type="gramStart"/>
      <w:r w:rsidRPr="00A075E4"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  <w:t>os</w:t>
      </w:r>
      <w:proofErr w:type="gramEnd"/>
      <w:r w:rsidRPr="00A075E4"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  <w:t xml:space="preserve"> podemos ordenar de la siguiente manera:</w:t>
      </w:r>
    </w:p>
    <w:p w:rsidR="00A075E4" w:rsidRPr="00A075E4" w:rsidRDefault="00A075E4" w:rsidP="00A075E4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</w:pPr>
      <w:r w:rsidRPr="00A075E4">
        <w:rPr>
          <w:rFonts w:ascii="Georgia" w:eastAsia="Times New Roman" w:hAnsi="Georgia" w:cs="Times New Roman"/>
          <w:i/>
          <w:iCs/>
          <w:color w:val="111111"/>
          <w:sz w:val="21"/>
          <w:szCs w:val="21"/>
          <w:lang w:eastAsia="es-AR"/>
        </w:rPr>
        <w:t>“</w:t>
      </w:r>
      <w:proofErr w:type="spellStart"/>
      <w:r w:rsidRPr="00A075E4">
        <w:rPr>
          <w:rFonts w:ascii="Georgia" w:eastAsia="Times New Roman" w:hAnsi="Georgia" w:cs="Times New Roman"/>
          <w:i/>
          <w:iCs/>
          <w:color w:val="111111"/>
          <w:sz w:val="21"/>
          <w:szCs w:val="21"/>
          <w:lang w:eastAsia="es-AR"/>
        </w:rPr>
        <w:t>Aún</w:t>
      </w:r>
      <w:proofErr w:type="spellEnd"/>
      <w:r w:rsidRPr="00A075E4">
        <w:rPr>
          <w:rFonts w:ascii="Georgia" w:eastAsia="Times New Roman" w:hAnsi="Georgia" w:cs="Times New Roman"/>
          <w:i/>
          <w:iCs/>
          <w:color w:val="111111"/>
          <w:sz w:val="21"/>
          <w:szCs w:val="21"/>
          <w:lang w:eastAsia="es-AR"/>
        </w:rPr>
        <w:t xml:space="preserve"> cuando la norma </w:t>
      </w:r>
      <w:proofErr w:type="gramStart"/>
      <w:r w:rsidRPr="00A075E4">
        <w:rPr>
          <w:rFonts w:ascii="Georgia" w:eastAsia="Times New Roman" w:hAnsi="Georgia" w:cs="Times New Roman"/>
          <w:b/>
          <w:bCs/>
          <w:i/>
          <w:iCs/>
          <w:color w:val="111111"/>
          <w:sz w:val="21"/>
          <w:szCs w:val="21"/>
          <w:lang w:eastAsia="es-AR"/>
        </w:rPr>
        <w:t>( Art</w:t>
      </w:r>
      <w:proofErr w:type="gramEnd"/>
      <w:r w:rsidRPr="00A075E4">
        <w:rPr>
          <w:rFonts w:ascii="Georgia" w:eastAsia="Times New Roman" w:hAnsi="Georgia" w:cs="Times New Roman"/>
          <w:b/>
          <w:bCs/>
          <w:i/>
          <w:iCs/>
          <w:color w:val="111111"/>
          <w:sz w:val="21"/>
          <w:szCs w:val="21"/>
          <w:lang w:eastAsia="es-AR"/>
        </w:rPr>
        <w:t>. 52 de la Ley 23.551)</w:t>
      </w:r>
      <w:r w:rsidRPr="00A075E4">
        <w:rPr>
          <w:rFonts w:ascii="Georgia" w:eastAsia="Times New Roman" w:hAnsi="Georgia" w:cs="Times New Roman"/>
          <w:i/>
          <w:iCs/>
          <w:color w:val="111111"/>
          <w:sz w:val="21"/>
          <w:szCs w:val="21"/>
          <w:lang w:eastAsia="es-AR"/>
        </w:rPr>
        <w:t> se refiera a suspensiones, despidos y cambios en las condiciones de trabajo,</w:t>
      </w:r>
      <w:r w:rsidRPr="00A075E4">
        <w:rPr>
          <w:rFonts w:ascii="Georgia" w:eastAsia="Times New Roman" w:hAnsi="Georgia" w:cs="Times New Roman"/>
          <w:b/>
          <w:bCs/>
          <w:i/>
          <w:iCs/>
          <w:color w:val="111111"/>
          <w:sz w:val="21"/>
          <w:szCs w:val="21"/>
          <w:lang w:eastAsia="es-AR"/>
        </w:rPr>
        <w:t xml:space="preserve"> la imposición de una sanción disciplinaria no suspensiva también altera la dinámica de la relación, </w:t>
      </w:r>
      <w:proofErr w:type="spellStart"/>
      <w:r w:rsidRPr="00A075E4">
        <w:rPr>
          <w:rFonts w:ascii="Georgia" w:eastAsia="Times New Roman" w:hAnsi="Georgia" w:cs="Times New Roman"/>
          <w:b/>
          <w:bCs/>
          <w:i/>
          <w:iCs/>
          <w:color w:val="111111"/>
          <w:sz w:val="21"/>
          <w:szCs w:val="21"/>
          <w:lang w:eastAsia="es-AR"/>
        </w:rPr>
        <w:t>preconstituye</w:t>
      </w:r>
      <w:proofErr w:type="spellEnd"/>
      <w:r w:rsidRPr="00A075E4">
        <w:rPr>
          <w:rFonts w:ascii="Georgia" w:eastAsia="Times New Roman" w:hAnsi="Georgia" w:cs="Times New Roman"/>
          <w:b/>
          <w:bCs/>
          <w:i/>
          <w:iCs/>
          <w:color w:val="111111"/>
          <w:sz w:val="21"/>
          <w:szCs w:val="21"/>
          <w:lang w:eastAsia="es-AR"/>
        </w:rPr>
        <w:t xml:space="preserve"> antecedentes desfavorables para el dependiente y puede influir en evaluaciones futuras</w:t>
      </w:r>
      <w:r w:rsidRPr="00A075E4">
        <w:rPr>
          <w:rFonts w:ascii="Georgia" w:eastAsia="Times New Roman" w:hAnsi="Georgia" w:cs="Times New Roman"/>
          <w:i/>
          <w:iCs/>
          <w:color w:val="111111"/>
          <w:sz w:val="21"/>
          <w:szCs w:val="21"/>
          <w:lang w:eastAsia="es-AR"/>
        </w:rPr>
        <w:t>.</w:t>
      </w:r>
    </w:p>
    <w:p w:rsidR="00A075E4" w:rsidRPr="00A075E4" w:rsidRDefault="00A075E4" w:rsidP="00A075E4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</w:pPr>
      <w:r w:rsidRPr="00A075E4">
        <w:rPr>
          <w:rFonts w:ascii="Georgia" w:eastAsia="Times New Roman" w:hAnsi="Georgia" w:cs="Times New Roman"/>
          <w:i/>
          <w:iCs/>
          <w:color w:val="111111"/>
          <w:sz w:val="21"/>
          <w:szCs w:val="21"/>
          <w:lang w:eastAsia="es-AR"/>
        </w:rPr>
        <w:t>“Como lo puntualiza el Dr. Eduardo Álvarez en el Dictamen, cuyos fundamentos se comparten,</w:t>
      </w:r>
      <w:r w:rsidRPr="00A075E4">
        <w:rPr>
          <w:rFonts w:ascii="Georgia" w:eastAsia="Times New Roman" w:hAnsi="Georgia" w:cs="Times New Roman"/>
          <w:b/>
          <w:bCs/>
          <w:i/>
          <w:iCs/>
          <w:color w:val="111111"/>
          <w:sz w:val="21"/>
          <w:szCs w:val="21"/>
          <w:lang w:eastAsia="es-AR"/>
        </w:rPr>
        <w:t> no puede razonablemente habilitarse el ejercicio del poder sancionatorio del empleador</w:t>
      </w:r>
      <w:r w:rsidRPr="00A075E4">
        <w:rPr>
          <w:rFonts w:ascii="Georgia" w:eastAsia="Times New Roman" w:hAnsi="Georgia" w:cs="Times New Roman"/>
          <w:i/>
          <w:iCs/>
          <w:color w:val="111111"/>
          <w:sz w:val="21"/>
          <w:szCs w:val="21"/>
          <w:lang w:eastAsia="es-AR"/>
        </w:rPr>
        <w:t>, respecto de un delegado gremial especialmente tutelado en los términos de los artículos </w:t>
      </w:r>
      <w:r w:rsidRPr="00A075E4">
        <w:rPr>
          <w:rFonts w:ascii="Georgia" w:eastAsia="Times New Roman" w:hAnsi="Georgia" w:cs="Times New Roman"/>
          <w:b/>
          <w:bCs/>
          <w:i/>
          <w:iCs/>
          <w:color w:val="111111"/>
          <w:sz w:val="21"/>
          <w:szCs w:val="21"/>
          <w:lang w:eastAsia="es-AR"/>
        </w:rPr>
        <w:t>48</w:t>
      </w:r>
      <w:r w:rsidRPr="00A075E4">
        <w:rPr>
          <w:rFonts w:ascii="Georgia" w:eastAsia="Times New Roman" w:hAnsi="Georgia" w:cs="Times New Roman"/>
          <w:i/>
          <w:iCs/>
          <w:color w:val="111111"/>
          <w:sz w:val="21"/>
          <w:szCs w:val="21"/>
          <w:lang w:eastAsia="es-AR"/>
        </w:rPr>
        <w:t> y </w:t>
      </w:r>
      <w:r w:rsidRPr="00A075E4">
        <w:rPr>
          <w:rFonts w:ascii="Georgia" w:eastAsia="Times New Roman" w:hAnsi="Georgia" w:cs="Times New Roman"/>
          <w:b/>
          <w:bCs/>
          <w:i/>
          <w:iCs/>
          <w:color w:val="111111"/>
          <w:sz w:val="21"/>
          <w:szCs w:val="21"/>
          <w:lang w:eastAsia="es-AR"/>
        </w:rPr>
        <w:t>50</w:t>
      </w:r>
      <w:r w:rsidRPr="00A075E4">
        <w:rPr>
          <w:rFonts w:ascii="Georgia" w:eastAsia="Times New Roman" w:hAnsi="Georgia" w:cs="Times New Roman"/>
          <w:i/>
          <w:iCs/>
          <w:color w:val="111111"/>
          <w:sz w:val="21"/>
          <w:szCs w:val="21"/>
          <w:lang w:eastAsia="es-AR"/>
        </w:rPr>
        <w:t> de la Ley de Asociaciones Sindicales </w:t>
      </w:r>
      <w:r w:rsidRPr="00A075E4">
        <w:rPr>
          <w:rFonts w:ascii="Georgia" w:eastAsia="Times New Roman" w:hAnsi="Georgia" w:cs="Times New Roman"/>
          <w:b/>
          <w:bCs/>
          <w:i/>
          <w:iCs/>
          <w:color w:val="111111"/>
          <w:sz w:val="21"/>
          <w:szCs w:val="21"/>
          <w:lang w:eastAsia="es-AR"/>
        </w:rPr>
        <w:t>sin previa exclusión de la tutela</w:t>
      </w:r>
      <w:r w:rsidRPr="00A075E4">
        <w:rPr>
          <w:rFonts w:ascii="Georgia" w:eastAsia="Times New Roman" w:hAnsi="Georgia" w:cs="Times New Roman"/>
          <w:i/>
          <w:iCs/>
          <w:color w:val="111111"/>
          <w:sz w:val="21"/>
          <w:szCs w:val="21"/>
          <w:lang w:eastAsia="es-AR"/>
        </w:rPr>
        <w:t>, por cuanto </w:t>
      </w:r>
      <w:r w:rsidRPr="00A075E4">
        <w:rPr>
          <w:rFonts w:ascii="Georgia" w:eastAsia="Times New Roman" w:hAnsi="Georgia" w:cs="Times New Roman"/>
          <w:b/>
          <w:bCs/>
          <w:i/>
          <w:iCs/>
          <w:color w:val="111111"/>
          <w:sz w:val="21"/>
          <w:szCs w:val="21"/>
          <w:lang w:eastAsia="es-AR"/>
        </w:rPr>
        <w:t>la adopción de medidas de esa índole puede afectar el regular ejercicio de la actividad sindical</w:t>
      </w:r>
      <w:r w:rsidRPr="00A075E4">
        <w:rPr>
          <w:rFonts w:ascii="Georgia" w:eastAsia="Times New Roman" w:hAnsi="Georgia" w:cs="Times New Roman"/>
          <w:b/>
          <w:bCs/>
          <w:color w:val="111111"/>
          <w:sz w:val="21"/>
          <w:szCs w:val="21"/>
          <w:lang w:eastAsia="es-AR"/>
        </w:rPr>
        <w:t xml:space="preserve"> (conf. </w:t>
      </w:r>
      <w:proofErr w:type="spellStart"/>
      <w:r w:rsidRPr="00A075E4">
        <w:rPr>
          <w:rFonts w:ascii="Georgia" w:eastAsia="Times New Roman" w:hAnsi="Georgia" w:cs="Times New Roman"/>
          <w:b/>
          <w:bCs/>
          <w:color w:val="111111"/>
          <w:sz w:val="21"/>
          <w:szCs w:val="21"/>
          <w:lang w:eastAsia="es-AR"/>
        </w:rPr>
        <w:t>arg</w:t>
      </w:r>
      <w:proofErr w:type="spellEnd"/>
      <w:r w:rsidRPr="00A075E4">
        <w:rPr>
          <w:rFonts w:ascii="Georgia" w:eastAsia="Times New Roman" w:hAnsi="Georgia" w:cs="Times New Roman"/>
          <w:b/>
          <w:bCs/>
          <w:color w:val="111111"/>
          <w:sz w:val="21"/>
          <w:szCs w:val="21"/>
          <w:lang w:eastAsia="es-AR"/>
        </w:rPr>
        <w:t>. Convenio 135 OIT)</w:t>
      </w:r>
      <w:proofErr w:type="gramStart"/>
      <w:r w:rsidRPr="00A075E4">
        <w:rPr>
          <w:rFonts w:ascii="Georgia" w:eastAsia="Times New Roman" w:hAnsi="Georgia" w:cs="Times New Roman"/>
          <w:b/>
          <w:bCs/>
          <w:color w:val="111111"/>
          <w:sz w:val="21"/>
          <w:szCs w:val="21"/>
          <w:lang w:eastAsia="es-AR"/>
        </w:rPr>
        <w:t>.</w:t>
      </w:r>
      <w:r w:rsidRPr="00A075E4"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  <w:t>“</w:t>
      </w:r>
      <w:proofErr w:type="gramEnd"/>
    </w:p>
    <w:p w:rsidR="00A075E4" w:rsidRPr="00A075E4" w:rsidRDefault="00A075E4" w:rsidP="00A075E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</w:pPr>
      <w:r w:rsidRPr="00A075E4"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  <w:t>La Sala dejó claro que </w:t>
      </w:r>
      <w:r w:rsidRPr="00A075E4">
        <w:rPr>
          <w:rFonts w:ascii="Georgia" w:eastAsia="Times New Roman" w:hAnsi="Georgia" w:cs="Times New Roman"/>
          <w:b/>
          <w:bCs/>
          <w:color w:val="111111"/>
          <w:sz w:val="21"/>
          <w:szCs w:val="21"/>
          <w:lang w:eastAsia="es-AR"/>
        </w:rPr>
        <w:t>el apercibimiento</w:t>
      </w:r>
      <w:r w:rsidRPr="00A075E4"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  <w:t xml:space="preserve"> es una medida represiva enmarcada dentro del poder disciplinario del empleador que posee “idoneidad” </w:t>
      </w:r>
      <w:proofErr w:type="gramStart"/>
      <w:r w:rsidRPr="00A075E4"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  <w:t>para ”</w:t>
      </w:r>
      <w:proofErr w:type="gramEnd"/>
      <w:r w:rsidRPr="00A075E4"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  <w:t xml:space="preserve"> perjudicar el horizonte mental” del representante y, de esta manera constituir un acto de hostigamiento o persecución del tipo vedado por el dispositivo garantista. </w:t>
      </w:r>
      <w:r w:rsidRPr="00A075E4">
        <w:rPr>
          <w:rFonts w:ascii="Georgia" w:eastAsia="Times New Roman" w:hAnsi="Georgia" w:cs="Times New Roman"/>
          <w:b/>
          <w:bCs/>
          <w:color w:val="111111"/>
          <w:sz w:val="21"/>
          <w:szCs w:val="21"/>
          <w:lang w:eastAsia="es-AR"/>
        </w:rPr>
        <w:t xml:space="preserve">Su diferencia cuantitativa con la” </w:t>
      </w:r>
      <w:proofErr w:type="spellStart"/>
      <w:r w:rsidRPr="00A075E4">
        <w:rPr>
          <w:rFonts w:ascii="Georgia" w:eastAsia="Times New Roman" w:hAnsi="Georgia" w:cs="Times New Roman"/>
          <w:b/>
          <w:bCs/>
          <w:color w:val="111111"/>
          <w:sz w:val="21"/>
          <w:szCs w:val="21"/>
          <w:lang w:eastAsia="es-AR"/>
        </w:rPr>
        <w:t>supensión</w:t>
      </w:r>
      <w:proofErr w:type="spellEnd"/>
      <w:r w:rsidRPr="00A075E4">
        <w:rPr>
          <w:rFonts w:ascii="Georgia" w:eastAsia="Times New Roman" w:hAnsi="Georgia" w:cs="Times New Roman"/>
          <w:b/>
          <w:bCs/>
          <w:color w:val="111111"/>
          <w:sz w:val="21"/>
          <w:szCs w:val="21"/>
          <w:lang w:eastAsia="es-AR"/>
        </w:rPr>
        <w:t>” no significa que, cualitativamente apreciado, pueda constituir un modo de discriminar e ir minando o debilitando el contrato individual</w:t>
      </w:r>
      <w:r w:rsidRPr="00A075E4"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  <w:t> y erosionando la libertad de acción del representante concernida. Por tanto, </w:t>
      </w:r>
      <w:r w:rsidRPr="00A075E4">
        <w:rPr>
          <w:rFonts w:ascii="Georgia" w:eastAsia="Times New Roman" w:hAnsi="Georgia" w:cs="Times New Roman"/>
          <w:b/>
          <w:bCs/>
          <w:color w:val="111111"/>
          <w:sz w:val="21"/>
          <w:szCs w:val="21"/>
          <w:lang w:eastAsia="es-AR"/>
        </w:rPr>
        <w:t>si bien no se trata de una suspensión</w:t>
      </w:r>
      <w:r w:rsidRPr="00A075E4"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  <w:t xml:space="preserve">, es una modificación de las condiciones de trabajo, expresión que no necesariamente se confunde con el </w:t>
      </w:r>
      <w:proofErr w:type="spellStart"/>
      <w:r w:rsidRPr="00A075E4"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  <w:t>ius</w:t>
      </w:r>
      <w:proofErr w:type="spellEnd"/>
      <w:r w:rsidRPr="00A075E4"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  <w:t xml:space="preserve"> </w:t>
      </w:r>
      <w:proofErr w:type="spellStart"/>
      <w:r w:rsidRPr="00A075E4"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  <w:t>variandi</w:t>
      </w:r>
      <w:proofErr w:type="spellEnd"/>
      <w:r w:rsidRPr="00A075E4"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  <w:t xml:space="preserve"> y que, </w:t>
      </w:r>
      <w:proofErr w:type="gramStart"/>
      <w:r w:rsidRPr="00A075E4"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  <w:t>también ,</w:t>
      </w:r>
      <w:proofErr w:type="gramEnd"/>
      <w:r w:rsidRPr="00A075E4"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  <w:t xml:space="preserve"> es una medida restringida por la Ley</w:t>
      </w:r>
      <w:r w:rsidRPr="00A075E4">
        <w:rPr>
          <w:rFonts w:ascii="Georgia" w:eastAsia="Times New Roman" w:hAnsi="Georgia" w:cs="Times New Roman"/>
          <w:i/>
          <w:iCs/>
          <w:color w:val="111111"/>
          <w:sz w:val="21"/>
          <w:szCs w:val="21"/>
          <w:lang w:eastAsia="es-AR"/>
        </w:rPr>
        <w:t xml:space="preserve"> (cfr. Machado, José D., Ojeda, Raúl H., “Tutela Sindical”, </w:t>
      </w:r>
      <w:proofErr w:type="spellStart"/>
      <w:r w:rsidRPr="00A075E4">
        <w:rPr>
          <w:rFonts w:ascii="Georgia" w:eastAsia="Times New Roman" w:hAnsi="Georgia" w:cs="Times New Roman"/>
          <w:i/>
          <w:iCs/>
          <w:color w:val="111111"/>
          <w:sz w:val="21"/>
          <w:szCs w:val="21"/>
          <w:lang w:eastAsia="es-AR"/>
        </w:rPr>
        <w:t>Rubinzal</w:t>
      </w:r>
      <w:proofErr w:type="spellEnd"/>
      <w:r w:rsidRPr="00A075E4">
        <w:rPr>
          <w:rFonts w:ascii="Georgia" w:eastAsia="Times New Roman" w:hAnsi="Georgia" w:cs="Times New Roman"/>
          <w:i/>
          <w:iCs/>
          <w:color w:val="111111"/>
          <w:sz w:val="21"/>
          <w:szCs w:val="21"/>
          <w:lang w:eastAsia="es-AR"/>
        </w:rPr>
        <w:t xml:space="preserve"> </w:t>
      </w:r>
      <w:proofErr w:type="spellStart"/>
      <w:r w:rsidRPr="00A075E4">
        <w:rPr>
          <w:rFonts w:ascii="Georgia" w:eastAsia="Times New Roman" w:hAnsi="Georgia" w:cs="Times New Roman"/>
          <w:i/>
          <w:iCs/>
          <w:color w:val="111111"/>
          <w:sz w:val="21"/>
          <w:szCs w:val="21"/>
          <w:lang w:eastAsia="es-AR"/>
        </w:rPr>
        <w:t>Culzoni</w:t>
      </w:r>
      <w:proofErr w:type="spellEnd"/>
      <w:r w:rsidRPr="00A075E4">
        <w:rPr>
          <w:rFonts w:ascii="Georgia" w:eastAsia="Times New Roman" w:hAnsi="Georgia" w:cs="Times New Roman"/>
          <w:i/>
          <w:iCs/>
          <w:color w:val="111111"/>
          <w:sz w:val="21"/>
          <w:szCs w:val="21"/>
          <w:lang w:eastAsia="es-AR"/>
        </w:rPr>
        <w:t xml:space="preserve"> 2006, </w:t>
      </w:r>
      <w:proofErr w:type="spellStart"/>
      <w:r w:rsidRPr="00A075E4">
        <w:rPr>
          <w:rFonts w:ascii="Georgia" w:eastAsia="Times New Roman" w:hAnsi="Georgia" w:cs="Times New Roman"/>
          <w:i/>
          <w:iCs/>
          <w:color w:val="111111"/>
          <w:sz w:val="21"/>
          <w:szCs w:val="21"/>
          <w:lang w:eastAsia="es-AR"/>
        </w:rPr>
        <w:t>pág</w:t>
      </w:r>
      <w:proofErr w:type="spellEnd"/>
      <w:r w:rsidRPr="00A075E4">
        <w:rPr>
          <w:rFonts w:ascii="Georgia" w:eastAsia="Times New Roman" w:hAnsi="Georgia" w:cs="Times New Roman"/>
          <w:i/>
          <w:iCs/>
          <w:color w:val="111111"/>
          <w:sz w:val="21"/>
          <w:szCs w:val="21"/>
          <w:lang w:eastAsia="es-AR"/>
        </w:rPr>
        <w:t xml:space="preserve"> 106).</w:t>
      </w:r>
    </w:p>
    <w:p w:rsidR="00A075E4" w:rsidRPr="00A075E4" w:rsidRDefault="00A075E4" w:rsidP="00A075E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</w:pPr>
      <w:r w:rsidRPr="00A075E4">
        <w:rPr>
          <w:rFonts w:ascii="Georgia" w:eastAsia="Times New Roman" w:hAnsi="Georgia" w:cs="Times New Roman"/>
          <w:color w:val="111111"/>
          <w:sz w:val="21"/>
          <w:szCs w:val="21"/>
          <w:lang w:eastAsia="es-AR"/>
        </w:rPr>
        <w:t>En consecuencia, </w:t>
      </w:r>
      <w:r w:rsidRPr="00A075E4">
        <w:rPr>
          <w:rFonts w:ascii="Georgia" w:eastAsia="Times New Roman" w:hAnsi="Georgia" w:cs="Times New Roman"/>
          <w:b/>
          <w:bCs/>
          <w:color w:val="111111"/>
          <w:sz w:val="21"/>
          <w:szCs w:val="21"/>
          <w:lang w:eastAsia="es-AR"/>
        </w:rPr>
        <w:t>la Sala II resolvió que para aplicar el apercibimiento a un delegado gremial especialmente tutelado por los artículos 48 y 50 de la LAS,  es imprescindible la previa exclusión de tutela sindical.</w:t>
      </w:r>
    </w:p>
    <w:p w:rsidR="00187637" w:rsidRDefault="00187637">
      <w:bookmarkStart w:id="0" w:name="_GoBack"/>
      <w:bookmarkEnd w:id="0"/>
    </w:p>
    <w:sectPr w:rsidR="00187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529F5"/>
    <w:multiLevelType w:val="multilevel"/>
    <w:tmpl w:val="A0464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E4"/>
    <w:rsid w:val="00187637"/>
    <w:rsid w:val="00A0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E870-BB69-438D-9A4E-C3500E29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A075E4"/>
    <w:rPr>
      <w:i/>
      <w:iCs/>
    </w:rPr>
  </w:style>
  <w:style w:type="character" w:styleId="Textoennegrita">
    <w:name w:val="Strong"/>
    <w:basedOn w:val="Fuentedeprrafopredeter"/>
    <w:uiPriority w:val="22"/>
    <w:qFormat/>
    <w:rsid w:val="00A07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Elisabeth</dc:creator>
  <cp:keywords/>
  <dc:description/>
  <cp:lastModifiedBy>Lopez, Elisabeth</cp:lastModifiedBy>
  <cp:revision>1</cp:revision>
  <dcterms:created xsi:type="dcterms:W3CDTF">2018-06-27T18:55:00Z</dcterms:created>
  <dcterms:modified xsi:type="dcterms:W3CDTF">2018-06-27T18:55:00Z</dcterms:modified>
</cp:coreProperties>
</file>