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5A" w:rsidRPr="0051357E" w:rsidRDefault="00E9745A" w:rsidP="008442CD">
      <w:pPr>
        <w:spacing w:after="0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 xml:space="preserve">CUDAP: EXP – UBA: </w:t>
      </w:r>
      <w:r>
        <w:rPr>
          <w:rFonts w:ascii="Arial Rounded MT Bold" w:hAnsi="Arial Rounded MT Bold"/>
          <w:b/>
          <w:sz w:val="24"/>
          <w:szCs w:val="24"/>
        </w:rPr>
        <w:t>23648/2017</w:t>
      </w:r>
    </w:p>
    <w:p w:rsidR="00E9745A" w:rsidRPr="0051357E" w:rsidRDefault="00E9745A" w:rsidP="008442CD">
      <w:pPr>
        <w:pStyle w:val="Textoindependiente"/>
        <w:spacing w:line="276" w:lineRule="auto"/>
        <w:rPr>
          <w:rFonts w:ascii="Tunga" w:hAnsi="Tunga" w:cs="Tunga"/>
          <w:b/>
        </w:rPr>
      </w:pPr>
      <w:r w:rsidRPr="0051357E">
        <w:rPr>
          <w:rFonts w:ascii="Tunga" w:hAnsi="Tunga" w:cs="Tunga"/>
          <w:b/>
        </w:rPr>
        <w:t>SUMARIO ADMINISTRATIVO s/LOS HECHOS QUE SUCEDIERON EN TORNO A LA PRESENTACION DE LA NOTA FECHADA EL DIA 7 DE ABRIL DE 2017 EFECTUADA POR LA MESA DIRECTIVA DEL CENBA</w:t>
      </w:r>
    </w:p>
    <w:p w:rsidR="00E91431" w:rsidRDefault="00E91431" w:rsidP="00972DEA">
      <w:pPr>
        <w:pStyle w:val="Textoindependiente"/>
        <w:ind w:firstLine="708"/>
        <w:jc w:val="right"/>
        <w:rPr>
          <w:rFonts w:ascii="Tunga" w:hAnsi="Tunga" w:cs="Tunga"/>
        </w:rPr>
      </w:pPr>
    </w:p>
    <w:p w:rsidR="00972DEA" w:rsidRDefault="00972DEA" w:rsidP="00972DEA">
      <w:pPr>
        <w:pStyle w:val="Textoindependiente"/>
        <w:ind w:firstLine="708"/>
        <w:jc w:val="right"/>
        <w:rPr>
          <w:rFonts w:ascii="Tunga" w:hAnsi="Tunga" w:cs="Tunga"/>
        </w:rPr>
      </w:pPr>
      <w:r w:rsidRPr="0030022C">
        <w:rPr>
          <w:rFonts w:ascii="Tunga" w:hAnsi="Tunga" w:cs="Tunga"/>
        </w:rPr>
        <w:t>Ciuda</w:t>
      </w:r>
      <w:bookmarkStart w:id="0" w:name="_GoBack"/>
      <w:bookmarkEnd w:id="0"/>
      <w:r w:rsidRPr="0030022C">
        <w:rPr>
          <w:rFonts w:ascii="Tunga" w:hAnsi="Tunga" w:cs="Tunga"/>
        </w:rPr>
        <w:t xml:space="preserve">d de Buenos Aires, </w:t>
      </w:r>
      <w:r w:rsidR="000F1A94">
        <w:rPr>
          <w:rFonts w:ascii="Tunga" w:hAnsi="Tunga" w:cs="Tunga"/>
        </w:rPr>
        <w:t>9</w:t>
      </w:r>
      <w:r w:rsidRPr="0030022C">
        <w:rPr>
          <w:rFonts w:ascii="Tunga" w:hAnsi="Tunga" w:cs="Tunga"/>
        </w:rPr>
        <w:t xml:space="preserve"> de </w:t>
      </w:r>
      <w:r w:rsidR="000F1A94">
        <w:rPr>
          <w:rFonts w:ascii="Tunga" w:hAnsi="Tunga" w:cs="Tunga"/>
        </w:rPr>
        <w:t>marzo de 2018</w:t>
      </w:r>
    </w:p>
    <w:p w:rsidR="000F1A94" w:rsidRDefault="00696FA1" w:rsidP="00696FA1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I.- </w:t>
      </w:r>
      <w:r w:rsidR="000F1A94">
        <w:rPr>
          <w:rFonts w:ascii="Tunga" w:hAnsi="Tunga" w:cs="Tunga"/>
          <w:sz w:val="24"/>
          <w:szCs w:val="24"/>
        </w:rPr>
        <w:t xml:space="preserve"> Vuelven las presentes actuaciones con el resultado de las notificaciones requeridas a los sumariados.</w:t>
      </w:r>
    </w:p>
    <w:p w:rsidR="000F1A94" w:rsidRDefault="000F1A94" w:rsidP="00696FA1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>II.- Se deja constancia que con fecha 16/06/2018 se solicitó la notificación de la providencia de fs.</w:t>
      </w:r>
      <w:r w:rsidR="008442CD"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</w:rPr>
        <w:t>361 vta. a los efectos de que los agentes RODRIGUEZ  y LONDON formulen sus alegatos sobre el mérito de la prueba sustanciada en autos y el informe del art. 115 RIA obrante a fs. 348/362.</w:t>
      </w:r>
    </w:p>
    <w:p w:rsidR="000F1A94" w:rsidRDefault="000F1A94" w:rsidP="00696FA1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A fs. 368 luce la CD </w:t>
      </w:r>
      <w:r w:rsidR="001964E7">
        <w:rPr>
          <w:rFonts w:ascii="Tunga" w:hAnsi="Tunga" w:cs="Tunga"/>
          <w:sz w:val="24"/>
          <w:szCs w:val="24"/>
        </w:rPr>
        <w:t xml:space="preserve">dirigida </w:t>
      </w:r>
      <w:r>
        <w:rPr>
          <w:rFonts w:ascii="Tunga" w:hAnsi="Tunga" w:cs="Tunga"/>
          <w:sz w:val="24"/>
          <w:szCs w:val="24"/>
        </w:rPr>
        <w:t xml:space="preserve">a la agente London, devuelta al </w:t>
      </w:r>
      <w:r w:rsidR="001964E7">
        <w:rPr>
          <w:rFonts w:ascii="Tunga" w:hAnsi="Tunga" w:cs="Tunga"/>
          <w:sz w:val="24"/>
          <w:szCs w:val="24"/>
        </w:rPr>
        <w:t>destinatario a fs. 372</w:t>
      </w:r>
      <w:r>
        <w:rPr>
          <w:rFonts w:ascii="Tunga" w:hAnsi="Tunga" w:cs="Tunga"/>
          <w:sz w:val="24"/>
          <w:szCs w:val="24"/>
        </w:rPr>
        <w:t xml:space="preserve">. A fs. 381 obra la impresión del seguimiento de la misiva, en la cual consta que con fechas </w:t>
      </w:r>
      <w:r w:rsidR="001964E7">
        <w:rPr>
          <w:rFonts w:ascii="Tunga" w:hAnsi="Tunga" w:cs="Tunga"/>
          <w:sz w:val="24"/>
          <w:szCs w:val="24"/>
        </w:rPr>
        <w:t>19 y 20 de febrero de 2018 el agente postal encontró el domicilio cerrado y se dejó aviso de su visita, vencido el plazo de su retención el 1° de marzo de 2018 procedió a devolverla a su remitente.</w:t>
      </w:r>
    </w:p>
    <w:p w:rsidR="001964E7" w:rsidRDefault="001964E7" w:rsidP="001964E7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>A fs. 3</w:t>
      </w:r>
      <w:r>
        <w:rPr>
          <w:rFonts w:ascii="Tunga" w:hAnsi="Tunga" w:cs="Tunga"/>
          <w:sz w:val="24"/>
          <w:szCs w:val="24"/>
        </w:rPr>
        <w:t>70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</w:rPr>
        <w:t xml:space="preserve">se agregó </w:t>
      </w:r>
      <w:r>
        <w:rPr>
          <w:rFonts w:ascii="Tunga" w:hAnsi="Tunga" w:cs="Tunga"/>
          <w:sz w:val="24"/>
          <w:szCs w:val="24"/>
        </w:rPr>
        <w:t xml:space="preserve">la CD </w:t>
      </w:r>
      <w:r>
        <w:rPr>
          <w:rFonts w:ascii="Tunga" w:hAnsi="Tunga" w:cs="Tunga"/>
          <w:sz w:val="24"/>
          <w:szCs w:val="24"/>
        </w:rPr>
        <w:t xml:space="preserve">enviada </w:t>
      </w:r>
      <w:r>
        <w:rPr>
          <w:rFonts w:ascii="Tunga" w:hAnsi="Tunga" w:cs="Tunga"/>
          <w:sz w:val="24"/>
          <w:szCs w:val="24"/>
        </w:rPr>
        <w:t xml:space="preserve">al agente </w:t>
      </w:r>
      <w:r>
        <w:rPr>
          <w:rFonts w:ascii="Tunga" w:hAnsi="Tunga" w:cs="Tunga"/>
          <w:sz w:val="24"/>
          <w:szCs w:val="24"/>
        </w:rPr>
        <w:t>Rodríguez</w:t>
      </w:r>
      <w:r>
        <w:rPr>
          <w:rFonts w:ascii="Tunga" w:hAnsi="Tunga" w:cs="Tunga"/>
          <w:sz w:val="24"/>
          <w:szCs w:val="24"/>
        </w:rPr>
        <w:t>. A fs. 38</w:t>
      </w:r>
      <w:r>
        <w:rPr>
          <w:rFonts w:ascii="Tunga" w:hAnsi="Tunga" w:cs="Tunga"/>
          <w:sz w:val="24"/>
          <w:szCs w:val="24"/>
        </w:rPr>
        <w:t>0</w:t>
      </w:r>
      <w:r>
        <w:rPr>
          <w:rFonts w:ascii="Tunga" w:hAnsi="Tunga" w:cs="Tunga"/>
          <w:sz w:val="24"/>
          <w:szCs w:val="24"/>
        </w:rPr>
        <w:t xml:space="preserve"> </w:t>
      </w:r>
      <w:r>
        <w:rPr>
          <w:rFonts w:ascii="Tunga" w:hAnsi="Tunga" w:cs="Tunga"/>
          <w:sz w:val="24"/>
          <w:szCs w:val="24"/>
        </w:rPr>
        <w:t xml:space="preserve">luce </w:t>
      </w:r>
      <w:r>
        <w:rPr>
          <w:rFonts w:ascii="Tunga" w:hAnsi="Tunga" w:cs="Tunga"/>
          <w:sz w:val="24"/>
          <w:szCs w:val="24"/>
        </w:rPr>
        <w:t xml:space="preserve">la impresión del seguimiento de la misiva, en la cual consta que con fechas  20 </w:t>
      </w:r>
      <w:r>
        <w:rPr>
          <w:rFonts w:ascii="Tunga" w:hAnsi="Tunga" w:cs="Tunga"/>
          <w:sz w:val="24"/>
          <w:szCs w:val="24"/>
        </w:rPr>
        <w:t xml:space="preserve"> y 21 </w:t>
      </w:r>
      <w:r>
        <w:rPr>
          <w:rFonts w:ascii="Tunga" w:hAnsi="Tunga" w:cs="Tunga"/>
          <w:sz w:val="24"/>
          <w:szCs w:val="24"/>
        </w:rPr>
        <w:t>de febrero de 2018 el agente postal encontró el domicilio cerrado y se dejó aviso de su visita</w:t>
      </w:r>
      <w:r>
        <w:rPr>
          <w:rFonts w:ascii="Tunga" w:hAnsi="Tunga" w:cs="Tunga"/>
          <w:sz w:val="24"/>
          <w:szCs w:val="24"/>
        </w:rPr>
        <w:t>. La pieza postal se encuentra en la Sucursal.</w:t>
      </w:r>
    </w:p>
    <w:p w:rsidR="001964E7" w:rsidRDefault="001964E7" w:rsidP="001964E7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>Asimismo, he de dejar constancia a fs. 373/77 los sumariados tomaron vista del expediente y sacaron fotocopias con fecha 9 de marzo de 2018.</w:t>
      </w:r>
    </w:p>
    <w:p w:rsidR="007964A2" w:rsidRDefault="001964E7" w:rsidP="007964A2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Atento que </w:t>
      </w:r>
      <w:r w:rsidR="007964A2">
        <w:rPr>
          <w:rFonts w:ascii="Tunga" w:hAnsi="Tunga" w:cs="Tunga"/>
          <w:sz w:val="24"/>
          <w:szCs w:val="24"/>
        </w:rPr>
        <w:t xml:space="preserve">el medio de comunicación que se ejecutó es el mismo con el cual se efectivizaron las anteriores notificaciones realizadas en los </w:t>
      </w:r>
      <w:r w:rsidR="00F04332">
        <w:rPr>
          <w:rFonts w:ascii="Tunga" w:hAnsi="Tunga" w:cs="Tunga"/>
          <w:sz w:val="24"/>
          <w:szCs w:val="24"/>
        </w:rPr>
        <w:t xml:space="preserve">correctos </w:t>
      </w:r>
      <w:r w:rsidR="007964A2">
        <w:rPr>
          <w:rFonts w:ascii="Tunga" w:hAnsi="Tunga" w:cs="Tunga"/>
          <w:sz w:val="24"/>
          <w:szCs w:val="24"/>
        </w:rPr>
        <w:t xml:space="preserve">domicilios de los sumariados, y que es pacífica y mayoritaria la </w:t>
      </w:r>
      <w:r w:rsidR="007964A2">
        <w:rPr>
          <w:rFonts w:ascii="Tunga" w:hAnsi="Tunga" w:cs="Tunga"/>
          <w:sz w:val="24"/>
          <w:szCs w:val="24"/>
        </w:rPr>
        <w:lastRenderedPageBreak/>
        <w:t xml:space="preserve">jurisprudencia que recepta la validez y eficacia de las comunicaciones dirigidas a un domicilio devueltas con la observación “CERRRADO CON AVISO”, se tiene por notificados al agente Rodríguez el día </w:t>
      </w:r>
      <w:r w:rsidR="007964A2">
        <w:rPr>
          <w:rFonts w:ascii="Tunga" w:hAnsi="Tunga" w:cs="Tunga"/>
          <w:sz w:val="24"/>
          <w:szCs w:val="24"/>
        </w:rPr>
        <w:t>21 de febrero de 2018</w:t>
      </w:r>
      <w:r w:rsidR="007964A2">
        <w:rPr>
          <w:rFonts w:ascii="Tunga" w:hAnsi="Tunga" w:cs="Tunga"/>
          <w:sz w:val="24"/>
          <w:szCs w:val="24"/>
        </w:rPr>
        <w:t xml:space="preserve"> y a la agente London el día 20 de febrero de 2018 de conformidad a los resultados de las notificacio</w:t>
      </w:r>
      <w:r w:rsidR="00F04332">
        <w:rPr>
          <w:rFonts w:ascii="Tunga" w:hAnsi="Tunga" w:cs="Tunga"/>
          <w:sz w:val="24"/>
          <w:szCs w:val="24"/>
        </w:rPr>
        <w:t>nes agregadas a las actuaciones</w:t>
      </w:r>
      <w:r w:rsidR="00E91431">
        <w:rPr>
          <w:rFonts w:ascii="Tunga" w:hAnsi="Tunga" w:cs="Tunga"/>
          <w:sz w:val="24"/>
          <w:szCs w:val="24"/>
        </w:rPr>
        <w:t xml:space="preserve">, fechas de los  últimos avisos de visita del agente postal para efectuar la entrega de la pieza postal.- </w:t>
      </w:r>
    </w:p>
    <w:p w:rsidR="007964A2" w:rsidRDefault="007964A2" w:rsidP="00F04332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En ambos casos, los agentes omitieron retirar las piezas postales </w:t>
      </w:r>
      <w:r w:rsidR="00D07989">
        <w:rPr>
          <w:rFonts w:ascii="Tunga" w:hAnsi="Tunga" w:cs="Tunga"/>
          <w:sz w:val="24"/>
          <w:szCs w:val="24"/>
        </w:rPr>
        <w:t xml:space="preserve">de </w:t>
      </w:r>
      <w:r>
        <w:rPr>
          <w:rFonts w:ascii="Tunga" w:hAnsi="Tunga" w:cs="Tunga"/>
          <w:sz w:val="24"/>
          <w:szCs w:val="24"/>
        </w:rPr>
        <w:t xml:space="preserve">las oficinas </w:t>
      </w:r>
      <w:r w:rsidR="00F04332">
        <w:rPr>
          <w:rFonts w:ascii="Tunga" w:hAnsi="Tunga" w:cs="Tunga"/>
          <w:sz w:val="24"/>
          <w:szCs w:val="24"/>
        </w:rPr>
        <w:t>de Correo</w:t>
      </w:r>
      <w:r w:rsidR="00D07989">
        <w:rPr>
          <w:rFonts w:ascii="Tunga" w:hAnsi="Tunga" w:cs="Tunga"/>
          <w:sz w:val="24"/>
          <w:szCs w:val="24"/>
        </w:rPr>
        <w:t>, retenidas en ese lugar como consecuencia de</w:t>
      </w:r>
      <w:r w:rsidR="00F04332">
        <w:rPr>
          <w:rFonts w:ascii="Tunga" w:hAnsi="Tunga" w:cs="Tunga"/>
          <w:sz w:val="24"/>
          <w:szCs w:val="24"/>
        </w:rPr>
        <w:t>l cierre de sus domicilios</w:t>
      </w:r>
      <w:r w:rsidR="00D07989">
        <w:rPr>
          <w:rFonts w:ascii="Tunga" w:hAnsi="Tunga" w:cs="Tunga"/>
          <w:sz w:val="24"/>
          <w:szCs w:val="24"/>
        </w:rPr>
        <w:t xml:space="preserve">, conducta que </w:t>
      </w:r>
      <w:r w:rsidR="00F04332">
        <w:rPr>
          <w:rFonts w:ascii="Tunga" w:hAnsi="Tunga" w:cs="Tunga"/>
          <w:sz w:val="24"/>
          <w:szCs w:val="24"/>
        </w:rPr>
        <w:t xml:space="preserve">les es atribuibles únicamente a </w:t>
      </w:r>
      <w:r w:rsidR="0017777F">
        <w:rPr>
          <w:rFonts w:ascii="Tunga" w:hAnsi="Tunga" w:cs="Tunga"/>
          <w:sz w:val="24"/>
          <w:szCs w:val="24"/>
        </w:rPr>
        <w:t>sumariados en</w:t>
      </w:r>
      <w:r w:rsidR="00F04332">
        <w:rPr>
          <w:rFonts w:ascii="Tunga" w:hAnsi="Tunga" w:cs="Tunga"/>
          <w:sz w:val="24"/>
          <w:szCs w:val="24"/>
        </w:rPr>
        <w:t xml:space="preserve"> el marco de</w:t>
      </w:r>
      <w:r w:rsidR="0017777F">
        <w:rPr>
          <w:rFonts w:ascii="Tunga" w:hAnsi="Tunga" w:cs="Tunga"/>
          <w:sz w:val="24"/>
          <w:szCs w:val="24"/>
        </w:rPr>
        <w:t>l principio de</w:t>
      </w:r>
      <w:r w:rsidR="00F04332">
        <w:rPr>
          <w:rFonts w:ascii="Tunga" w:hAnsi="Tunga" w:cs="Tunga"/>
          <w:sz w:val="24"/>
          <w:szCs w:val="24"/>
        </w:rPr>
        <w:t xml:space="preserve"> la buena fe</w:t>
      </w:r>
      <w:r w:rsidR="00F04332">
        <w:rPr>
          <w:rFonts w:ascii="Tunga" w:hAnsi="Tunga" w:cs="Tunga"/>
          <w:sz w:val="24"/>
          <w:szCs w:val="24"/>
        </w:rPr>
        <w:t xml:space="preserve">. </w:t>
      </w:r>
    </w:p>
    <w:p w:rsidR="00E91431" w:rsidRDefault="00F04332" w:rsidP="00F04332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III.- </w:t>
      </w:r>
      <w:r w:rsidR="0017777F">
        <w:rPr>
          <w:rFonts w:ascii="Tunga" w:hAnsi="Tunga" w:cs="Tunga"/>
          <w:sz w:val="24"/>
          <w:szCs w:val="24"/>
        </w:rPr>
        <w:t>Toda vez que con fecha 20/2/18 la agente London y el 21/2/18 el agente Rodríguez</w:t>
      </w:r>
      <w:r w:rsidR="00E91431">
        <w:rPr>
          <w:rFonts w:ascii="Tunga" w:hAnsi="Tunga" w:cs="Tunga"/>
          <w:sz w:val="24"/>
          <w:szCs w:val="24"/>
        </w:rPr>
        <w:t xml:space="preserve"> se los tiene por notificados para ejercer el derecho de alegar</w:t>
      </w:r>
      <w:r w:rsidR="0017777F">
        <w:rPr>
          <w:rFonts w:ascii="Tunga" w:hAnsi="Tunga" w:cs="Tunga"/>
          <w:sz w:val="24"/>
          <w:szCs w:val="24"/>
        </w:rPr>
        <w:t>, el  plazo de seis (6) establecido por el art. 117 del Decreto 467/99 se encuentra vencido.</w:t>
      </w:r>
      <w:r w:rsidR="00E91431">
        <w:rPr>
          <w:rFonts w:ascii="Tunga" w:hAnsi="Tunga" w:cs="Tunga"/>
          <w:sz w:val="24"/>
          <w:szCs w:val="24"/>
        </w:rPr>
        <w:t xml:space="preserve"> </w:t>
      </w:r>
    </w:p>
    <w:p w:rsidR="00F04332" w:rsidRDefault="00E91431" w:rsidP="00F04332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La </w:t>
      </w:r>
      <w:r>
        <w:rPr>
          <w:rFonts w:ascii="Tunga" w:hAnsi="Tunga" w:cs="Tunga"/>
          <w:sz w:val="24"/>
          <w:szCs w:val="24"/>
        </w:rPr>
        <w:t xml:space="preserve">vista del expediente y extracción de fotocopias </w:t>
      </w:r>
      <w:r>
        <w:rPr>
          <w:rFonts w:ascii="Tunga" w:hAnsi="Tunga" w:cs="Tunga"/>
          <w:sz w:val="24"/>
          <w:szCs w:val="24"/>
        </w:rPr>
        <w:t>efectuados por los sumariados el 9/3/18 se ejecutaron una vez vencido el plazo que otorga el art. 117 del RIA.</w:t>
      </w:r>
    </w:p>
    <w:p w:rsidR="0017777F" w:rsidRDefault="0017777F" w:rsidP="00F04332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En consecuencia, </w:t>
      </w:r>
      <w:r w:rsidR="003427BF">
        <w:rPr>
          <w:rFonts w:ascii="Tunga" w:hAnsi="Tunga" w:cs="Tunga"/>
          <w:sz w:val="24"/>
          <w:szCs w:val="24"/>
        </w:rPr>
        <w:t xml:space="preserve">esta Instrucción deja constancia que no se presentaron Alegatos al día de la fecha por </w:t>
      </w:r>
      <w:r w:rsidR="00E91431">
        <w:rPr>
          <w:rFonts w:ascii="Tunga" w:hAnsi="Tunga" w:cs="Tunga"/>
          <w:sz w:val="24"/>
          <w:szCs w:val="24"/>
        </w:rPr>
        <w:t xml:space="preserve">parte de </w:t>
      </w:r>
      <w:r w:rsidR="003427BF">
        <w:rPr>
          <w:rFonts w:ascii="Tunga" w:hAnsi="Tunga" w:cs="Tunga"/>
          <w:sz w:val="24"/>
          <w:szCs w:val="24"/>
        </w:rPr>
        <w:t>los agentes London y Rodríguez</w:t>
      </w:r>
      <w:r w:rsidR="00E91431">
        <w:rPr>
          <w:rFonts w:ascii="Tunga" w:hAnsi="Tunga" w:cs="Tunga"/>
          <w:sz w:val="24"/>
          <w:szCs w:val="24"/>
        </w:rPr>
        <w:t xml:space="preserve">, por lo que </w:t>
      </w:r>
      <w:r w:rsidR="003427BF">
        <w:rPr>
          <w:rFonts w:ascii="Tunga" w:hAnsi="Tunga" w:cs="Tunga"/>
          <w:sz w:val="24"/>
          <w:szCs w:val="24"/>
        </w:rPr>
        <w:t xml:space="preserve">no podrán ejercer tal derecho en las instancias procesales siguientes.- </w:t>
      </w:r>
    </w:p>
    <w:p w:rsidR="003427BF" w:rsidRDefault="003427BF" w:rsidP="00F04332">
      <w:pPr>
        <w:spacing w:after="0" w:line="360" w:lineRule="auto"/>
        <w:ind w:firstLine="708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>IV.- A los efectos de la prosecución de las presentes</w:t>
      </w:r>
      <w:r w:rsidR="00E91431">
        <w:rPr>
          <w:rFonts w:ascii="Tunga" w:hAnsi="Tunga" w:cs="Tunga"/>
          <w:sz w:val="24"/>
          <w:szCs w:val="24"/>
        </w:rPr>
        <w:t xml:space="preserve"> de 38</w:t>
      </w:r>
      <w:r w:rsidR="008442CD">
        <w:rPr>
          <w:rFonts w:ascii="Tunga" w:hAnsi="Tunga" w:cs="Tunga"/>
          <w:sz w:val="24"/>
          <w:szCs w:val="24"/>
        </w:rPr>
        <w:t>3</w:t>
      </w:r>
      <w:r w:rsidR="00E91431">
        <w:rPr>
          <w:rFonts w:ascii="Tunga" w:hAnsi="Tunga" w:cs="Tunga"/>
          <w:sz w:val="24"/>
          <w:szCs w:val="24"/>
        </w:rPr>
        <w:t xml:space="preserve"> fojas con DOS ANEXOS SIN ACUMULAR (LEGAJOS DE LOS SUMARIADOS)</w:t>
      </w:r>
      <w:r>
        <w:rPr>
          <w:rFonts w:ascii="Tunga" w:hAnsi="Tunga" w:cs="Tunga"/>
          <w:sz w:val="24"/>
          <w:szCs w:val="24"/>
        </w:rPr>
        <w:t xml:space="preserve">, se elevan las presentes para conocimiento del Sr. Rector y posterior giro de las presentes al Departamento de Legales para la intervención de su </w:t>
      </w:r>
      <w:r>
        <w:rPr>
          <w:rFonts w:ascii="Tunga" w:hAnsi="Tunga" w:cs="Tunga"/>
          <w:sz w:val="24"/>
          <w:szCs w:val="24"/>
        </w:rPr>
        <w:lastRenderedPageBreak/>
        <w:t xml:space="preserve">competencia en el marco de lo dispuesto por el art. 122 del Decreto 467/99 a los fines de que se dicte el Acto resolutivo del  presente sumario. </w:t>
      </w:r>
    </w:p>
    <w:p w:rsidR="00E91431" w:rsidRDefault="00E91431" w:rsidP="00E9143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31FFC" w:rsidRPr="00E60A3A" w:rsidRDefault="007E7A28" w:rsidP="00E91431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58FA">
        <w:rPr>
          <w:rFonts w:ascii="Tahoma" w:hAnsi="Tahoma" w:cs="Tahoma"/>
          <w:sz w:val="24"/>
          <w:szCs w:val="24"/>
        </w:rPr>
        <w:tab/>
      </w:r>
      <w:r w:rsidRPr="000458FA">
        <w:rPr>
          <w:rFonts w:ascii="Tahoma" w:hAnsi="Tahoma" w:cs="Tahoma"/>
          <w:sz w:val="24"/>
          <w:szCs w:val="24"/>
        </w:rPr>
        <w:tab/>
      </w:r>
      <w:r w:rsidR="00047584" w:rsidRPr="000458FA">
        <w:rPr>
          <w:rFonts w:ascii="Tahoma" w:hAnsi="Tahoma" w:cs="Tahoma"/>
          <w:sz w:val="24"/>
          <w:szCs w:val="24"/>
        </w:rPr>
        <w:tab/>
      </w:r>
      <w:r w:rsidR="00047584" w:rsidRPr="000458FA">
        <w:rPr>
          <w:rFonts w:ascii="Tahoma" w:hAnsi="Tahoma" w:cs="Tahoma"/>
          <w:sz w:val="24"/>
          <w:szCs w:val="24"/>
        </w:rPr>
        <w:tab/>
      </w:r>
      <w:r w:rsidR="00047584" w:rsidRPr="000458FA">
        <w:rPr>
          <w:rFonts w:ascii="Tahoma" w:hAnsi="Tahoma" w:cs="Tahoma"/>
          <w:sz w:val="24"/>
          <w:szCs w:val="24"/>
        </w:rPr>
        <w:tab/>
        <w:t>In</w:t>
      </w:r>
      <w:r w:rsidR="00E200B5" w:rsidRPr="000458FA">
        <w:rPr>
          <w:rFonts w:ascii="Tahoma" w:hAnsi="Tahoma" w:cs="Tahoma"/>
          <w:sz w:val="24"/>
          <w:szCs w:val="24"/>
        </w:rPr>
        <w:t>structora Sumariante Res. 455/17</w:t>
      </w:r>
    </w:p>
    <w:sectPr w:rsidR="00231FFC" w:rsidRPr="00E60A3A" w:rsidSect="00C240A9">
      <w:pgSz w:w="11906" w:h="16838"/>
      <w:pgMar w:top="226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77" w:rsidRDefault="00766777" w:rsidP="001712CE">
      <w:pPr>
        <w:spacing w:after="0" w:line="240" w:lineRule="auto"/>
      </w:pPr>
      <w:r>
        <w:separator/>
      </w:r>
    </w:p>
  </w:endnote>
  <w:endnote w:type="continuationSeparator" w:id="0">
    <w:p w:rsidR="00766777" w:rsidRDefault="00766777" w:rsidP="0017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77" w:rsidRDefault="00766777" w:rsidP="001712CE">
      <w:pPr>
        <w:spacing w:after="0" w:line="240" w:lineRule="auto"/>
      </w:pPr>
      <w:r>
        <w:separator/>
      </w:r>
    </w:p>
  </w:footnote>
  <w:footnote w:type="continuationSeparator" w:id="0">
    <w:p w:rsidR="00766777" w:rsidRDefault="00766777" w:rsidP="0017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E11"/>
    <w:multiLevelType w:val="hybridMultilevel"/>
    <w:tmpl w:val="224C1D64"/>
    <w:lvl w:ilvl="0" w:tplc="FD0C59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E3EE5"/>
    <w:multiLevelType w:val="hybridMultilevel"/>
    <w:tmpl w:val="B790916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6E3C"/>
    <w:multiLevelType w:val="hybridMultilevel"/>
    <w:tmpl w:val="FE2C9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9420B"/>
    <w:multiLevelType w:val="hybridMultilevel"/>
    <w:tmpl w:val="5F9C4FFA"/>
    <w:lvl w:ilvl="0" w:tplc="575252A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44"/>
    <w:rsid w:val="00006478"/>
    <w:rsid w:val="00030194"/>
    <w:rsid w:val="00041C04"/>
    <w:rsid w:val="000458FA"/>
    <w:rsid w:val="00046549"/>
    <w:rsid w:val="000472F2"/>
    <w:rsid w:val="00047584"/>
    <w:rsid w:val="0005038B"/>
    <w:rsid w:val="00083153"/>
    <w:rsid w:val="00087217"/>
    <w:rsid w:val="000B098D"/>
    <w:rsid w:val="000C2806"/>
    <w:rsid w:val="000D587A"/>
    <w:rsid w:val="000F0A56"/>
    <w:rsid w:val="000F1A94"/>
    <w:rsid w:val="00105DB4"/>
    <w:rsid w:val="0011082B"/>
    <w:rsid w:val="00135DB7"/>
    <w:rsid w:val="0015308C"/>
    <w:rsid w:val="00167164"/>
    <w:rsid w:val="001712CE"/>
    <w:rsid w:val="00174959"/>
    <w:rsid w:val="0017777F"/>
    <w:rsid w:val="001964E7"/>
    <w:rsid w:val="001A5E88"/>
    <w:rsid w:val="001A7E50"/>
    <w:rsid w:val="001B1FEA"/>
    <w:rsid w:val="001B5ED0"/>
    <w:rsid w:val="001E5E79"/>
    <w:rsid w:val="001E6822"/>
    <w:rsid w:val="002020BA"/>
    <w:rsid w:val="00206CBC"/>
    <w:rsid w:val="002127B1"/>
    <w:rsid w:val="00214BFA"/>
    <w:rsid w:val="002175C6"/>
    <w:rsid w:val="0023181F"/>
    <w:rsid w:val="00231FFC"/>
    <w:rsid w:val="002405FF"/>
    <w:rsid w:val="00243515"/>
    <w:rsid w:val="002509FF"/>
    <w:rsid w:val="00257077"/>
    <w:rsid w:val="00281E29"/>
    <w:rsid w:val="002876C9"/>
    <w:rsid w:val="002945E4"/>
    <w:rsid w:val="002A162D"/>
    <w:rsid w:val="002A2C7B"/>
    <w:rsid w:val="002A776C"/>
    <w:rsid w:val="002B6AC5"/>
    <w:rsid w:val="002C5DC3"/>
    <w:rsid w:val="002E00CE"/>
    <w:rsid w:val="002E3480"/>
    <w:rsid w:val="002E6134"/>
    <w:rsid w:val="002F0E23"/>
    <w:rsid w:val="0030022C"/>
    <w:rsid w:val="00300401"/>
    <w:rsid w:val="003154E4"/>
    <w:rsid w:val="00336A0B"/>
    <w:rsid w:val="003427BF"/>
    <w:rsid w:val="00372C24"/>
    <w:rsid w:val="003952A9"/>
    <w:rsid w:val="003F1223"/>
    <w:rsid w:val="004017E9"/>
    <w:rsid w:val="0041590A"/>
    <w:rsid w:val="00433DC1"/>
    <w:rsid w:val="00436F79"/>
    <w:rsid w:val="00441839"/>
    <w:rsid w:val="00454B67"/>
    <w:rsid w:val="0048636C"/>
    <w:rsid w:val="00486A90"/>
    <w:rsid w:val="00496AF5"/>
    <w:rsid w:val="004B5926"/>
    <w:rsid w:val="004B75EC"/>
    <w:rsid w:val="004D3F6D"/>
    <w:rsid w:val="004E0248"/>
    <w:rsid w:val="004E19B0"/>
    <w:rsid w:val="004F193A"/>
    <w:rsid w:val="00505332"/>
    <w:rsid w:val="005510DD"/>
    <w:rsid w:val="0056647E"/>
    <w:rsid w:val="00574AA8"/>
    <w:rsid w:val="0058719B"/>
    <w:rsid w:val="005A0F2D"/>
    <w:rsid w:val="005B2C36"/>
    <w:rsid w:val="005D03AD"/>
    <w:rsid w:val="00622EB9"/>
    <w:rsid w:val="00624F2B"/>
    <w:rsid w:val="00653DAC"/>
    <w:rsid w:val="00666D1D"/>
    <w:rsid w:val="0067605F"/>
    <w:rsid w:val="0068328C"/>
    <w:rsid w:val="00696FA1"/>
    <w:rsid w:val="006A56C8"/>
    <w:rsid w:val="006C4A6D"/>
    <w:rsid w:val="006D32A3"/>
    <w:rsid w:val="006D63F3"/>
    <w:rsid w:val="006E5279"/>
    <w:rsid w:val="006F5059"/>
    <w:rsid w:val="00701DFC"/>
    <w:rsid w:val="007041B1"/>
    <w:rsid w:val="00711242"/>
    <w:rsid w:val="0071471D"/>
    <w:rsid w:val="00743C7D"/>
    <w:rsid w:val="00766777"/>
    <w:rsid w:val="007964A2"/>
    <w:rsid w:val="007B0DB8"/>
    <w:rsid w:val="007E2F48"/>
    <w:rsid w:val="007E7A28"/>
    <w:rsid w:val="00814CDA"/>
    <w:rsid w:val="00823CAC"/>
    <w:rsid w:val="00834299"/>
    <w:rsid w:val="00837EA8"/>
    <w:rsid w:val="00840FB9"/>
    <w:rsid w:val="008442CD"/>
    <w:rsid w:val="00892C98"/>
    <w:rsid w:val="008A5008"/>
    <w:rsid w:val="008B106E"/>
    <w:rsid w:val="008B19B1"/>
    <w:rsid w:val="009078D3"/>
    <w:rsid w:val="0092261C"/>
    <w:rsid w:val="00927B80"/>
    <w:rsid w:val="009629F0"/>
    <w:rsid w:val="00966463"/>
    <w:rsid w:val="00972DEA"/>
    <w:rsid w:val="00976238"/>
    <w:rsid w:val="00996570"/>
    <w:rsid w:val="009B5DF2"/>
    <w:rsid w:val="009C7BE7"/>
    <w:rsid w:val="009D7A6C"/>
    <w:rsid w:val="009E1672"/>
    <w:rsid w:val="009F6348"/>
    <w:rsid w:val="00A0769C"/>
    <w:rsid w:val="00A563FE"/>
    <w:rsid w:val="00A923C6"/>
    <w:rsid w:val="00AE2790"/>
    <w:rsid w:val="00AF0845"/>
    <w:rsid w:val="00B05D0A"/>
    <w:rsid w:val="00B1386B"/>
    <w:rsid w:val="00B449AF"/>
    <w:rsid w:val="00B51A23"/>
    <w:rsid w:val="00B64BAE"/>
    <w:rsid w:val="00B75B4C"/>
    <w:rsid w:val="00BA24AE"/>
    <w:rsid w:val="00BA65F9"/>
    <w:rsid w:val="00BB6C5B"/>
    <w:rsid w:val="00BC1FF1"/>
    <w:rsid w:val="00C240A9"/>
    <w:rsid w:val="00C30840"/>
    <w:rsid w:val="00C46844"/>
    <w:rsid w:val="00C76DE7"/>
    <w:rsid w:val="00C8378B"/>
    <w:rsid w:val="00CA7F4D"/>
    <w:rsid w:val="00CB537A"/>
    <w:rsid w:val="00CF3DCC"/>
    <w:rsid w:val="00CF7E4C"/>
    <w:rsid w:val="00D00DE6"/>
    <w:rsid w:val="00D01628"/>
    <w:rsid w:val="00D05035"/>
    <w:rsid w:val="00D07989"/>
    <w:rsid w:val="00D27323"/>
    <w:rsid w:val="00D35520"/>
    <w:rsid w:val="00D56C4C"/>
    <w:rsid w:val="00D619A5"/>
    <w:rsid w:val="00D6564C"/>
    <w:rsid w:val="00D824DF"/>
    <w:rsid w:val="00D97438"/>
    <w:rsid w:val="00DD60DC"/>
    <w:rsid w:val="00DD6B5D"/>
    <w:rsid w:val="00DE4D53"/>
    <w:rsid w:val="00DF0737"/>
    <w:rsid w:val="00E014BC"/>
    <w:rsid w:val="00E200B5"/>
    <w:rsid w:val="00E21BB2"/>
    <w:rsid w:val="00E243A4"/>
    <w:rsid w:val="00E344FB"/>
    <w:rsid w:val="00E409CB"/>
    <w:rsid w:val="00E60A3A"/>
    <w:rsid w:val="00E8391C"/>
    <w:rsid w:val="00E91431"/>
    <w:rsid w:val="00E9745A"/>
    <w:rsid w:val="00EB2033"/>
    <w:rsid w:val="00EB58E5"/>
    <w:rsid w:val="00ED54FF"/>
    <w:rsid w:val="00ED769F"/>
    <w:rsid w:val="00EF057A"/>
    <w:rsid w:val="00EF2412"/>
    <w:rsid w:val="00EF6D6A"/>
    <w:rsid w:val="00F04332"/>
    <w:rsid w:val="00F05DF1"/>
    <w:rsid w:val="00F21924"/>
    <w:rsid w:val="00F241B8"/>
    <w:rsid w:val="00F32A4E"/>
    <w:rsid w:val="00F35E09"/>
    <w:rsid w:val="00F569BC"/>
    <w:rsid w:val="00F70BE5"/>
    <w:rsid w:val="00F76E21"/>
    <w:rsid w:val="00FA231E"/>
    <w:rsid w:val="00FC7F31"/>
    <w:rsid w:val="00FF4AE1"/>
    <w:rsid w:val="00FF4CB3"/>
    <w:rsid w:val="00FF5CDF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B7B2C-CC41-4AD3-B45C-F2599A3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68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54E4"/>
  </w:style>
  <w:style w:type="character" w:customStyle="1" w:styleId="estilo11">
    <w:name w:val="estilo11"/>
    <w:basedOn w:val="Fuentedeprrafopredeter"/>
    <w:rsid w:val="00231FFC"/>
  </w:style>
  <w:style w:type="paragraph" w:styleId="Textoindependiente">
    <w:name w:val="Body Text"/>
    <w:basedOn w:val="Normal"/>
    <w:link w:val="TextoindependienteCar"/>
    <w:unhideWhenUsed/>
    <w:rsid w:val="007E7A28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7A28"/>
    <w:rPr>
      <w:rFonts w:ascii="Book Antiqua" w:eastAsia="Times New Roman" w:hAnsi="Book Antiqua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7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12CE"/>
  </w:style>
  <w:style w:type="paragraph" w:styleId="Piedepgina">
    <w:name w:val="footer"/>
    <w:basedOn w:val="Normal"/>
    <w:link w:val="PiedepginaCar"/>
    <w:uiPriority w:val="99"/>
    <w:semiHidden/>
    <w:unhideWhenUsed/>
    <w:rsid w:val="00171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12CE"/>
  </w:style>
  <w:style w:type="paragraph" w:styleId="Prrafodelista">
    <w:name w:val="List Paragraph"/>
    <w:basedOn w:val="Normal"/>
    <w:uiPriority w:val="34"/>
    <w:qFormat/>
    <w:rsid w:val="00BB6C5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72DE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865C-119C-42B7-9038-EDAA5D4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elopez</dc:creator>
  <cp:keywords/>
  <dc:description/>
  <cp:lastModifiedBy>Lopez, Elisabeth</cp:lastModifiedBy>
  <cp:revision>7</cp:revision>
  <cp:lastPrinted>2018-03-09T20:58:00Z</cp:lastPrinted>
  <dcterms:created xsi:type="dcterms:W3CDTF">2018-03-09T19:27:00Z</dcterms:created>
  <dcterms:modified xsi:type="dcterms:W3CDTF">2018-03-09T20:59:00Z</dcterms:modified>
</cp:coreProperties>
</file>